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FD3" w:rsidRDefault="00A01FD3" w:rsidP="00A01FD3">
      <w:pPr>
        <w:jc w:val="center"/>
      </w:pPr>
    </w:p>
    <w:p w:rsidR="00A01FD3" w:rsidRDefault="00A01FD3" w:rsidP="00A01FD3">
      <w:pPr>
        <w:jc w:val="center"/>
      </w:pPr>
    </w:p>
    <w:p w:rsidR="00A01FD3" w:rsidRDefault="00A01FD3" w:rsidP="00A01FD3">
      <w:pPr>
        <w:jc w:val="center"/>
      </w:pPr>
    </w:p>
    <w:p w:rsidR="00A01FD3" w:rsidRDefault="00A01FD3" w:rsidP="00A01FD3">
      <w:pPr>
        <w:jc w:val="center"/>
      </w:pPr>
    </w:p>
    <w:p w:rsidR="00A01FD3" w:rsidRDefault="00A01FD3" w:rsidP="00A01FD3">
      <w:pPr>
        <w:jc w:val="center"/>
      </w:pPr>
    </w:p>
    <w:p w:rsidR="00A01FD3" w:rsidRPr="00A01FD3" w:rsidRDefault="00A01FD3" w:rsidP="00A01FD3">
      <w:pPr>
        <w:jc w:val="center"/>
      </w:pPr>
      <w:r w:rsidRPr="00A01FD3">
        <w:t>International Corporate Governance: Target Valuation</w:t>
      </w:r>
    </w:p>
    <w:p w:rsidR="00A01FD3" w:rsidRPr="00A01FD3" w:rsidRDefault="00A01FD3" w:rsidP="00A01FD3">
      <w:pPr>
        <w:jc w:val="center"/>
      </w:pPr>
      <w:r w:rsidRPr="00A01FD3">
        <w:t>Name</w:t>
      </w:r>
    </w:p>
    <w:p w:rsidR="00A01FD3" w:rsidRPr="00A01FD3" w:rsidRDefault="00A01FD3" w:rsidP="00A01FD3">
      <w:pPr>
        <w:jc w:val="center"/>
      </w:pPr>
      <w:r w:rsidRPr="00A01FD3">
        <w:t>Institution</w:t>
      </w:r>
    </w:p>
    <w:p w:rsidR="00A01FD3" w:rsidRPr="00A01FD3" w:rsidRDefault="00A01FD3" w:rsidP="00A01FD3">
      <w:pPr>
        <w:jc w:val="center"/>
      </w:pPr>
      <w:r w:rsidRPr="00A01FD3">
        <w:t>Course Information</w:t>
      </w:r>
    </w:p>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Default="00A01FD3" w:rsidP="00A01FD3"/>
    <w:p w:rsidR="00A01FD3" w:rsidRPr="00A01FD3" w:rsidRDefault="00A01FD3" w:rsidP="00A01FD3">
      <w:pPr>
        <w:jc w:val="center"/>
      </w:pPr>
      <w:r w:rsidRPr="00A01FD3">
        <w:lastRenderedPageBreak/>
        <w:t>International Corporate Governance: Target Valuation</w:t>
      </w:r>
    </w:p>
    <w:p w:rsidR="007F3814" w:rsidRPr="00A01FD3" w:rsidRDefault="002673B6" w:rsidP="00A01FD3">
      <w:pPr>
        <w:ind w:firstLine="720"/>
      </w:pPr>
      <w:r w:rsidRPr="00A01FD3">
        <w:t xml:space="preserve">Corporate control is used as a form of governance by multinational corporations. Different multinationals use different forms of corporate governance as there are varying factors that influence valuation of foreign targets. International corporate governance is an important field to understand in modern business due to the increasingly international nature of business. </w:t>
      </w:r>
      <w:r w:rsidR="00BD06EE" w:rsidRPr="00A01FD3">
        <w:t xml:space="preserve">It is necessary to understand why valuations of targets may vary among multinationals and how considerate they are of corporate control strategies. It is also important to identify factors that are important when valuing a foreign target and to describe the process of valuing a foreign target. </w:t>
      </w:r>
      <w:r w:rsidR="00410EBD" w:rsidRPr="00A01FD3">
        <w:t>International corporate governance provides knowledge on barriers to international corporate control such as host government barriers, anti-takeover amendments and special rights granted to shareholders or managers under specified conditions. It is commonly understood that firms pay premiums of around 30 percent above the existing stock price of a foreign target to gain ownership</w:t>
      </w:r>
      <w:r w:rsidR="00A01FD3">
        <w:t xml:space="preserve"> (Denis &amp; McConnell, 2003)</w:t>
      </w:r>
      <w:r w:rsidR="00410EBD" w:rsidRPr="00A01FD3">
        <w:t>. The valuation of the foreign target may be influenced by target-specific factors or country-specific factors. Target-specific factors include managerial talent available at the target firm and historical data. Country-specific factors include local political conditions, local economic conditions, currency conditions of target firm, and industry conditions. These factors are critical in determining the value of the target firm.</w:t>
      </w:r>
    </w:p>
    <w:p w:rsidR="006A7CE7" w:rsidRPr="00A01FD3" w:rsidRDefault="001D6A19" w:rsidP="00A01FD3">
      <w:pPr>
        <w:ind w:firstLine="720"/>
      </w:pPr>
      <w:r w:rsidRPr="00A01FD3">
        <w:t>An article that adequately assesses the issue of international corporate governance is an article on Saudi Aramco detailing how challenging it is to determine the value of the Saudi oil giant. Written for Bloomberg News by Will Kennedy, the article notes how the company reported the biggest profits in the world in the first half of 2017 but is still difficult to value.</w:t>
      </w:r>
      <w:r w:rsidR="00BF63CB" w:rsidRPr="00A01FD3">
        <w:t xml:space="preserve"> The company is reported to have made a profit of $33.8 in the first half of 2017, more than double the profits made by global giants such as Microsoft, Samsung and Alphabet</w:t>
      </w:r>
      <w:r w:rsidR="00A01FD3">
        <w:t xml:space="preserve"> (Kennedy, 2018)</w:t>
      </w:r>
      <w:r w:rsidR="00BF63CB" w:rsidRPr="00A01FD3">
        <w:t xml:space="preserve">. </w:t>
      </w:r>
      <w:r w:rsidR="00202CEB" w:rsidRPr="00A01FD3">
        <w:t xml:space="preserve">An </w:t>
      </w:r>
      <w:r w:rsidR="00202CEB" w:rsidRPr="00A01FD3">
        <w:lastRenderedPageBreak/>
        <w:t>important fact noted by the author is that the company is almost debt-free and has production costs that run at a fraction of the industry standard. However, dividend payments after a share sale are limited by the heavy burden imposed on company cash flow. This burden is due to Saudi Arabia’s reliance on Aramco to finance military and social spending, as well as the effect of oil prices on company tax bill. The higher the oil prices, the higher the tax bill for the company. According to International Financial Reporting Standards (IFRS), Aramco is highly sensitive to oil prices compared to global rivals including Shell and Exxon</w:t>
      </w:r>
      <w:r w:rsidR="00A01FD3">
        <w:t xml:space="preserve"> (Kennedy, 2018)</w:t>
      </w:r>
      <w:r w:rsidR="00202CEB" w:rsidRPr="00A01FD3">
        <w:t xml:space="preserve">. </w:t>
      </w:r>
    </w:p>
    <w:p w:rsidR="001D6A19" w:rsidRPr="00A01FD3" w:rsidRDefault="00202CEB" w:rsidP="00A01FD3">
      <w:pPr>
        <w:ind w:firstLine="720"/>
      </w:pPr>
      <w:r w:rsidRPr="00A01FD3">
        <w:t>Saudi royal family has valued the company at $2 trillion although oil industry executives, analysts and consultants suggest a figure of $1 trillion to $</w:t>
      </w:r>
      <w:r w:rsidR="00D5384F" w:rsidRPr="00A01FD3">
        <w:t>1.5 trillion is more realistic. The article notes that regardless of the final valuation Aramco achieves, the value will be high due to the management of the company since its nationalization in 1976</w:t>
      </w:r>
      <w:r w:rsidR="00A01FD3">
        <w:t xml:space="preserve"> (Kennedy, 2018)</w:t>
      </w:r>
      <w:r w:rsidR="00D5384F" w:rsidRPr="00A01FD3">
        <w:t>.</w:t>
      </w:r>
      <w:r w:rsidR="003C0128" w:rsidRPr="00A01FD3">
        <w:t xml:space="preserve"> The company is expected to remain a major international firm even after an IPO because it impacts global economic growth and geopolitical security. </w:t>
      </w:r>
      <w:r w:rsidR="00720F9F" w:rsidRPr="00A01FD3">
        <w:t xml:space="preserve">The author suggests that cash flow generation and dividend payments are the two key metrics that investors will use to determine their valuation of the company. </w:t>
      </w:r>
      <w:r w:rsidR="006A7CE7" w:rsidRPr="00A01FD3">
        <w:t>Aramco adjusted cash flow from operations of $52.1 billion in the first half of 2017 while the Saudi government owed it $21.4 billion for services provided by Aramco to the kingdom and state-owned companies</w:t>
      </w:r>
      <w:r w:rsidR="00A01FD3">
        <w:t xml:space="preserve"> (Kennedy, 2018)</w:t>
      </w:r>
      <w:r w:rsidR="006A7CE7" w:rsidRPr="00A01FD3">
        <w:t xml:space="preserve">. </w:t>
      </w:r>
      <w:r w:rsidR="000F3E40" w:rsidRPr="00A01FD3">
        <w:t>The dividend was large but not when compared against other industry leaders. Aramco paid a cash distribution of $13 billion to the government in the first half of 2017. Exxon and Shell paid $6.4 billion and $7.8 billion respectively despite the two combined companies producing less oil than Aramco</w:t>
      </w:r>
      <w:r w:rsidR="00A01FD3">
        <w:t xml:space="preserve"> (Kennedy, 2018)</w:t>
      </w:r>
      <w:r w:rsidR="000F3E40" w:rsidRPr="00A01FD3">
        <w:t xml:space="preserve">. </w:t>
      </w:r>
    </w:p>
    <w:p w:rsidR="00E166A0" w:rsidRPr="00A01FD3" w:rsidRDefault="00E166A0" w:rsidP="00A01FD3">
      <w:pPr>
        <w:ind w:firstLine="720"/>
      </w:pPr>
      <w:r w:rsidRPr="00A01FD3">
        <w:t xml:space="preserve">The sources of uncertainty that affect the value of a foreign target can be applied to this company using the information presented in the article. Corporate tax rate has been found to </w:t>
      </w:r>
      <w:r w:rsidRPr="00A01FD3">
        <w:lastRenderedPageBreak/>
        <w:t>increase in line with global oil prices while capital expenses have been reported to be significantly high. These capital expenses have an impact on the company value as the scope of dividend payments after a share sale is limited</w:t>
      </w:r>
      <w:r w:rsidR="00A01FD3">
        <w:t xml:space="preserve"> (Denis &amp; McConnell, 2003)</w:t>
      </w:r>
      <w:r w:rsidRPr="00A01FD3">
        <w:t>. The growth rate of revenue is not particularly subject to uncertainty as the Saudi government has continuously protected the position of Aramco on the global scene. The company produces more oil than its two closest rivals, indicating a strong industry position that virtually ensures steady growth rate of revenue.</w:t>
      </w:r>
      <w:r w:rsidR="00591D3D" w:rsidRPr="00A01FD3">
        <w:t xml:space="preserve"> The cost of goods sold does not exceed production as the company is reported to spend $4 per barrel but earns about $52 per barrel</w:t>
      </w:r>
      <w:r w:rsidR="00A01FD3">
        <w:t xml:space="preserve"> (Kennedy, 2018)</w:t>
      </w:r>
      <w:r w:rsidR="00591D3D" w:rsidRPr="00A01FD3">
        <w:t>. Their rivals spend an average of $20 per barrel in comparison, illustrating how cost of goods is not a significant issue for Aramco</w:t>
      </w:r>
      <w:r w:rsidR="00A01FD3">
        <w:t xml:space="preserve"> (Kennedy, 2018)</w:t>
      </w:r>
      <w:r w:rsidR="00591D3D" w:rsidRPr="00A01FD3">
        <w:t>.</w:t>
      </w:r>
      <w:r w:rsidR="0098549F" w:rsidRPr="00A01FD3">
        <w:t xml:space="preserve"> A threat to value is the lack of certainty of future estimated selling price of the target. The price of oil may be subjected to threat of substitute product by emergence of alternative energy sources, affecting target value in the future.</w:t>
      </w:r>
    </w:p>
    <w:p w:rsidR="00A01FD3" w:rsidRDefault="000F3E40" w:rsidP="00A01FD3">
      <w:pPr>
        <w:ind w:firstLine="720"/>
      </w:pPr>
      <w:r w:rsidRPr="00A01FD3">
        <w:t>The facts covered by the article provide insight into the valuation process of international corporations. For Aramco, the limited cash generation would reduce the valuation determined by investors. The company pays a 50 percent income tax and additional variable royalty on revenue. This is a country-specific factor that is critical to the value arrived at by investors interested in the foreign target.</w:t>
      </w:r>
      <w:r w:rsidR="00BA2CF2" w:rsidRPr="00A01FD3">
        <w:t xml:space="preserve"> The value can be increased by analysis of the production costs and debt figures. The company is noted for being almost totally free of debt, an appealing factor for those seeking to invest of an international company of that magnitude.</w:t>
      </w:r>
      <w:r w:rsidR="00110344" w:rsidRPr="00A01FD3">
        <w:t xml:space="preserve"> Aramco is highly influenced by country-specific factors as the Saudi government tightly exerts its control over the company that financially supports the major military and social programs of the kingdom.</w:t>
      </w:r>
      <w:r w:rsidR="002B2606" w:rsidRPr="00A01FD3">
        <w:t xml:space="preserve"> Cash flow generation and dividend payments are two metrics that will significantly determine the value of the company. </w:t>
      </w:r>
    </w:p>
    <w:p w:rsidR="00A01FD3" w:rsidRPr="00A01FD3" w:rsidRDefault="00A01FD3" w:rsidP="00A01FD3">
      <w:pPr>
        <w:ind w:firstLine="720"/>
        <w:jc w:val="center"/>
      </w:pPr>
      <w:r w:rsidRPr="00A01FD3">
        <w:lastRenderedPageBreak/>
        <w:t>References</w:t>
      </w:r>
    </w:p>
    <w:p w:rsidR="00A01FD3" w:rsidRPr="00A01FD3" w:rsidRDefault="00A01FD3" w:rsidP="00A01FD3">
      <w:pPr>
        <w:ind w:left="720" w:hanging="720"/>
        <w:rPr>
          <w:color w:val="222222"/>
          <w:shd w:val="clear" w:color="auto" w:fill="FFFFFF"/>
        </w:rPr>
      </w:pPr>
      <w:r w:rsidRPr="00A01FD3">
        <w:rPr>
          <w:color w:val="222222"/>
          <w:shd w:val="clear" w:color="auto" w:fill="FFFFFF"/>
        </w:rPr>
        <w:t>Denis, D. K., &amp; McConnell, J. J. (2003). International corporate governance. </w:t>
      </w:r>
      <w:r w:rsidRPr="00A01FD3">
        <w:rPr>
          <w:i/>
          <w:iCs/>
          <w:color w:val="222222"/>
          <w:shd w:val="clear" w:color="auto" w:fill="FFFFFF"/>
        </w:rPr>
        <w:t>Journal of financial and quantitative analysis</w:t>
      </w:r>
      <w:r w:rsidRPr="00A01FD3">
        <w:rPr>
          <w:color w:val="222222"/>
          <w:shd w:val="clear" w:color="auto" w:fill="FFFFFF"/>
        </w:rPr>
        <w:t>, </w:t>
      </w:r>
      <w:r w:rsidRPr="00A01FD3">
        <w:rPr>
          <w:i/>
          <w:iCs/>
          <w:color w:val="222222"/>
          <w:shd w:val="clear" w:color="auto" w:fill="FFFFFF"/>
        </w:rPr>
        <w:t>38</w:t>
      </w:r>
      <w:r w:rsidRPr="00A01FD3">
        <w:rPr>
          <w:color w:val="222222"/>
          <w:shd w:val="clear" w:color="auto" w:fill="FFFFFF"/>
        </w:rPr>
        <w:t xml:space="preserve">(1), 1-36. </w:t>
      </w:r>
    </w:p>
    <w:p w:rsidR="00A01FD3" w:rsidRPr="00A01FD3" w:rsidRDefault="00A01FD3" w:rsidP="00A01FD3">
      <w:pPr>
        <w:ind w:left="720" w:hanging="720"/>
      </w:pPr>
      <w:r w:rsidRPr="00A01FD3">
        <w:rPr>
          <w:color w:val="222222"/>
          <w:shd w:val="clear" w:color="auto" w:fill="FFFFFF"/>
        </w:rPr>
        <w:t xml:space="preserve">Kennedy, W. (2018). The Aramco accounts: Inside the world’s most profitable company. Bloomberg News. Retrieved from: </w:t>
      </w:r>
      <w:hyperlink r:id="rId6" w:history="1">
        <w:r w:rsidRPr="00A01FD3">
          <w:rPr>
            <w:rStyle w:val="Hyperlink"/>
            <w:shd w:val="clear" w:color="auto" w:fill="FFFFFF"/>
          </w:rPr>
          <w:t>https://www.bloomberg.com/news/articles/2018-04-13/the-aramco-accounts-inside-the-world-s-most-profitable-company</w:t>
        </w:r>
      </w:hyperlink>
      <w:r w:rsidRPr="00A01FD3">
        <w:rPr>
          <w:color w:val="222222"/>
          <w:shd w:val="clear" w:color="auto" w:fill="FFFFFF"/>
        </w:rPr>
        <w:t xml:space="preserve"> </w:t>
      </w:r>
    </w:p>
    <w:sectPr w:rsidR="00A01FD3" w:rsidRPr="00A01FD3" w:rsidSect="00A01F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232B" w:rsidRDefault="0077232B" w:rsidP="00A01FD3">
      <w:pPr>
        <w:spacing w:line="240" w:lineRule="auto"/>
      </w:pPr>
      <w:r>
        <w:separator/>
      </w:r>
    </w:p>
  </w:endnote>
  <w:endnote w:type="continuationSeparator" w:id="1">
    <w:p w:rsidR="0077232B" w:rsidRDefault="0077232B" w:rsidP="00A01FD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232B" w:rsidRDefault="0077232B" w:rsidP="00A01FD3">
      <w:pPr>
        <w:spacing w:line="240" w:lineRule="auto"/>
      </w:pPr>
      <w:r>
        <w:separator/>
      </w:r>
    </w:p>
  </w:footnote>
  <w:footnote w:type="continuationSeparator" w:id="1">
    <w:p w:rsidR="0077232B" w:rsidRDefault="0077232B" w:rsidP="00A01FD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41422"/>
      <w:docPartObj>
        <w:docPartGallery w:val="Page Numbers (Top of Page)"/>
        <w:docPartUnique/>
      </w:docPartObj>
    </w:sdtPr>
    <w:sdtContent>
      <w:p w:rsidR="00A01FD3" w:rsidRDefault="00A01FD3">
        <w:pPr>
          <w:pStyle w:val="Header"/>
          <w:jc w:val="right"/>
        </w:pPr>
        <w:r>
          <w:t>INTERNATIONAL BUSINESS</w:t>
        </w:r>
        <w:r>
          <w:tab/>
        </w:r>
        <w:r>
          <w:tab/>
        </w:r>
        <w:fldSimple w:instr=" PAGE   \* MERGEFORMAT ">
          <w:r>
            <w:rPr>
              <w:noProof/>
            </w:rPr>
            <w:t>2</w:t>
          </w:r>
        </w:fldSimple>
      </w:p>
    </w:sdtContent>
  </w:sdt>
  <w:p w:rsidR="00A01FD3" w:rsidRDefault="00A01F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D3" w:rsidRDefault="00A01FD3">
    <w:pPr>
      <w:pStyle w:val="Header"/>
    </w:pPr>
    <w:r>
      <w:t>Running head: INTERNATIONAL BUSINESS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673B6"/>
    <w:rsid w:val="000F3E40"/>
    <w:rsid w:val="00110344"/>
    <w:rsid w:val="001D6A19"/>
    <w:rsid w:val="00202CEB"/>
    <w:rsid w:val="002673B6"/>
    <w:rsid w:val="002B2606"/>
    <w:rsid w:val="003C0128"/>
    <w:rsid w:val="00410EBD"/>
    <w:rsid w:val="00591D3D"/>
    <w:rsid w:val="006A7CE7"/>
    <w:rsid w:val="00720F9F"/>
    <w:rsid w:val="0077232B"/>
    <w:rsid w:val="007B7D6E"/>
    <w:rsid w:val="007F3814"/>
    <w:rsid w:val="0098549F"/>
    <w:rsid w:val="009B0259"/>
    <w:rsid w:val="00A01FD3"/>
    <w:rsid w:val="00BA2CF2"/>
    <w:rsid w:val="00BD06EE"/>
    <w:rsid w:val="00BF63CB"/>
    <w:rsid w:val="00D5384F"/>
    <w:rsid w:val="00E166A0"/>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1FD3"/>
    <w:rPr>
      <w:color w:val="0000FF" w:themeColor="hyperlink"/>
      <w:u w:val="single"/>
    </w:rPr>
  </w:style>
  <w:style w:type="paragraph" w:styleId="Header">
    <w:name w:val="header"/>
    <w:basedOn w:val="Normal"/>
    <w:link w:val="HeaderChar"/>
    <w:uiPriority w:val="99"/>
    <w:unhideWhenUsed/>
    <w:rsid w:val="00A01FD3"/>
    <w:pPr>
      <w:tabs>
        <w:tab w:val="center" w:pos="4680"/>
        <w:tab w:val="right" w:pos="9360"/>
      </w:tabs>
      <w:spacing w:line="240" w:lineRule="auto"/>
    </w:pPr>
  </w:style>
  <w:style w:type="character" w:customStyle="1" w:styleId="HeaderChar">
    <w:name w:val="Header Char"/>
    <w:basedOn w:val="DefaultParagraphFont"/>
    <w:link w:val="Header"/>
    <w:uiPriority w:val="99"/>
    <w:rsid w:val="00A01FD3"/>
  </w:style>
  <w:style w:type="paragraph" w:styleId="Footer">
    <w:name w:val="footer"/>
    <w:basedOn w:val="Normal"/>
    <w:link w:val="FooterChar"/>
    <w:uiPriority w:val="99"/>
    <w:semiHidden/>
    <w:unhideWhenUsed/>
    <w:rsid w:val="00A01FD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01FD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omberg.com/news/articles/2018-04-13/the-aramco-accounts-inside-the-world-s-most-profitable-compan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1075</Words>
  <Characters>5808</Characters>
  <Application>Microsoft Office Word</Application>
  <DocSecurity>0</DocSecurity>
  <Lines>76</Lines>
  <Paragraphs>6</Paragraphs>
  <ScaleCrop>false</ScaleCrop>
  <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2018-04-25T01:12:00Z</dcterms:created>
  <dcterms:modified xsi:type="dcterms:W3CDTF">2018-04-25T01:12:00Z</dcterms:modified>
</cp:coreProperties>
</file>